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ОБЩИНСКИ СЪВЕТ - ГР.РУДОЗЕМ, ОБЛАСТ СМОЛЯН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тел:0306/99214; факс:0306/99141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e-mail: obsrud@abv.bg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ОБС Вх. </w:t>
      </w:r>
      <w:r>
        <w:rPr>
          <w:rFonts w:ascii="Segoe UI Symbol" w:hAnsi="Segoe UI Symbol" w:cs="Segoe UI Symbol" w:eastAsia="Segoe UI Symbol"/>
          <w:b/>
          <w:color w:val="000000"/>
          <w:spacing w:val="0"/>
          <w:position w:val="0"/>
          <w:sz w:val="2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126/20.07.2026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г.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6379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ДО</w:t>
      </w:r>
    </w:p>
    <w:p>
      <w:pPr>
        <w:spacing w:before="0" w:after="0" w:line="276"/>
        <w:ind w:right="0" w:left="6379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ОБЩИНСКИ СЪВЕТ</w:t>
      </w:r>
    </w:p>
    <w:p>
      <w:pPr>
        <w:spacing w:before="0" w:after="0" w:line="276"/>
        <w:ind w:right="0" w:left="637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ГР. РУДОЗЕМ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О Т Ч Е Т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от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инж. Венцислав Пехливанов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Председател на Общинския съвет-Рудозем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6"/>
          <w:shd w:fill="auto" w:val="clear"/>
        </w:rPr>
        <w:t xml:space="preserve">Относно: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Отчет за работата на Общински съвет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Рудозем за периода 01.01.2026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 30.06.2026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год.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Уважаеми дами и господа общински съветници,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Съгласно чл.27, ал.6 от Закона за местното самоуправление и местната администрация, Общинският съвет приема отчет за своята дейност два пъти годишно. В изпълнение на това задължение представям на Вашето внимание отчет за работата на Общински съвет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Рудозем за периода 1 януари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30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юни 2026 година.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През посечения период Общинският съвет е провел 6 редовни, 1 извънредни заседания и 1 извънредно не проведено, поради липса на кворум, на които са обсъдени средно 7 точки от дневния ред.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През месец май са проведени две заседания за месеца, като и още едно не проведено, а в останалите месеци по едно.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Средно на заседание са присъствали по 10 общински съветници, като по-голямата част от тях нямат пропуснато заседание.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 рамките на тези заседания са разгледани и приети общо 47 решения, свързани с управлението на общината, местните политики и интересите на жителите на Община Рудозем. От тях 37 или 79 % с пълно мнозинство. Областният управител е върнал 1 решение. 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Видът на взетите решения са: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Финансово управление</w:t>
      </w:r>
    </w:p>
    <w:p>
      <w:pPr>
        <w:numPr>
          <w:ilvl w:val="0"/>
          <w:numId w:val="11"/>
        </w:numPr>
        <w:spacing w:before="0" w:after="0" w:line="276"/>
        <w:ind w:right="0" w:left="284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Изменения на бюджета, свързани с реализиране на проектни дейности, извънредни разходи и целеви субсидии;</w:t>
      </w:r>
    </w:p>
    <w:p>
      <w:pPr>
        <w:spacing w:before="0" w:after="0" w:line="276"/>
        <w:ind w:right="0" w:left="28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Управление и разпореждане с общинска собственост</w:t>
      </w:r>
    </w:p>
    <w:p>
      <w:pPr>
        <w:numPr>
          <w:ilvl w:val="0"/>
          <w:numId w:val="1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Продажба и отдаване под наем на общински имоти чрез търг;</w:t>
      </w:r>
    </w:p>
    <w:p>
      <w:pPr>
        <w:numPr>
          <w:ilvl w:val="0"/>
          <w:numId w:val="1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Учредяване на право на строеж;</w:t>
      </w:r>
    </w:p>
    <w:p>
      <w:pPr>
        <w:numPr>
          <w:ilvl w:val="0"/>
          <w:numId w:val="1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Приемане на списък с имоти за публична и частна общинска собственост;</w:t>
      </w:r>
    </w:p>
    <w:p>
      <w:pPr>
        <w:numPr>
          <w:ilvl w:val="0"/>
          <w:numId w:val="14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Придобиване на имоти чрез дарение или замяна.</w:t>
      </w:r>
    </w:p>
    <w:p>
      <w:pPr>
        <w:spacing w:before="0" w:after="0" w:line="276"/>
        <w:ind w:right="0" w:left="28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         3.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Териториално устройство и инфраструктура</w:t>
      </w:r>
    </w:p>
    <w:p>
      <w:pPr>
        <w:numPr>
          <w:ilvl w:val="0"/>
          <w:numId w:val="17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Одобряване на подробни устройствени планове (ПУП);</w:t>
      </w:r>
    </w:p>
    <w:p>
      <w:pPr>
        <w:numPr>
          <w:ilvl w:val="0"/>
          <w:numId w:val="17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Даване на съгласие за изготвяне или изменение на регулации;</w:t>
      </w:r>
    </w:p>
    <w:p>
      <w:pPr>
        <w:numPr>
          <w:ilvl w:val="0"/>
          <w:numId w:val="17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Решения, свързани с улична и пътна инфраструктура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основни ремонти, благоустрояване на паркове и улици.</w:t>
      </w:r>
    </w:p>
    <w:p>
      <w:pPr>
        <w:spacing w:before="0" w:after="0" w:line="276"/>
        <w:ind w:right="0" w:left="284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Социална политика, образование и здравеопазване</w:t>
      </w:r>
    </w:p>
    <w:p>
      <w:pPr>
        <w:numPr>
          <w:ilvl w:val="0"/>
          <w:numId w:val="20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Подкрепа на социални програми за уязвими групи;</w:t>
      </w:r>
    </w:p>
    <w:p>
      <w:pPr>
        <w:numPr>
          <w:ilvl w:val="0"/>
          <w:numId w:val="20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Осигуряване на средства за дейности в здравните заведения на територията на общината.</w:t>
      </w:r>
    </w:p>
    <w:p>
      <w:pPr>
        <w:numPr>
          <w:ilvl w:val="0"/>
          <w:numId w:val="20"/>
        </w:numPr>
        <w:spacing w:before="0" w:after="0" w:line="276"/>
        <w:ind w:right="0" w:left="284" w:hanging="28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Изразяване на становище за опрощаване от Президента на Република България на задължения на жители на община Рудозем.</w:t>
      </w:r>
    </w:p>
    <w:p>
      <w:pPr>
        <w:spacing w:before="0" w:after="0" w:line="276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Местно самоуправление и гражданско участие</w:t>
      </w:r>
    </w:p>
    <w:p>
      <w:pPr>
        <w:numPr>
          <w:ilvl w:val="0"/>
          <w:numId w:val="23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Определяне на правила и процедури за работа на съвета и неговите комисии;</w:t>
      </w:r>
    </w:p>
    <w:p>
      <w:pPr>
        <w:numPr>
          <w:ilvl w:val="0"/>
          <w:numId w:val="23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Приемане на вътрешни правилници, наредби и изменения на съществуващи нормативни актове.</w:t>
      </w:r>
    </w:p>
    <w:p>
      <w:pPr>
        <w:spacing w:before="0" w:after="0" w:line="276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6"/>
          <w:shd w:fill="auto" w:val="clear"/>
        </w:rPr>
        <w:t xml:space="preserve">Европейски програми и проекти</w:t>
      </w:r>
    </w:p>
    <w:p>
      <w:pPr>
        <w:numPr>
          <w:ilvl w:val="0"/>
          <w:numId w:val="26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Одобряване на кандидатстване и участие в европейски и национални програми;</w:t>
      </w:r>
    </w:p>
    <w:p>
      <w:pPr>
        <w:numPr>
          <w:ilvl w:val="0"/>
          <w:numId w:val="26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Съфинансиране на проекти в сферата на околната среда, образованието и културата;</w:t>
      </w:r>
    </w:p>
    <w:p>
      <w:pPr>
        <w:numPr>
          <w:ilvl w:val="0"/>
          <w:numId w:val="26"/>
        </w:numPr>
        <w:spacing w:before="0" w:after="0" w:line="276"/>
        <w:ind w:right="0" w:left="426" w:hanging="42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Приемане на партньорства с други общини и институции.</w:t>
      </w:r>
    </w:p>
    <w:p>
      <w:pPr>
        <w:spacing w:before="0" w:after="0" w:line="276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По отношение на дневния ред средно са се разглеждани по 11 точки на заседание. Най-късото е от 1 точка, а най-дългото с 22 точки.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tbl>
      <w:tblPr/>
      <w:tblGrid>
        <w:gridCol w:w="655"/>
        <w:gridCol w:w="4377"/>
        <w:gridCol w:w="1200"/>
        <w:gridCol w:w="1677"/>
        <w:gridCol w:w="1586"/>
      </w:tblGrid>
      <w:tr>
        <w:trPr>
          <w:trHeight w:val="442" w:hRule="auto"/>
          <w:jc w:val="left"/>
        </w:trPr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6"/>
                <w:shd w:fill="auto" w:val="clear"/>
              </w:rPr>
              <w:t xml:space="preserve">№</w:t>
            </w:r>
          </w:p>
        </w:tc>
        <w:tc>
          <w:tcPr>
            <w:tcW w:w="43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tbl>
            <w:tblPr/>
            <w:tblGrid>
              <w:gridCol w:w="3720"/>
            </w:tblGrid>
            <w:tr>
              <w:trPr>
                <w:trHeight w:val="127" w:hRule="auto"/>
                <w:jc w:val="left"/>
              </w:trPr>
              <w:tc>
                <w:tcPr>
                  <w:tcW w:w="372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bdd6ee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76"/>
                    <w:ind w:right="0" w:left="0" w:firstLine="0"/>
                    <w:jc w:val="center"/>
                    <w:rPr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6"/>
                      <w:shd w:fill="auto" w:val="clear"/>
                    </w:rPr>
                    <w:t xml:space="preserve">Наименование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446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87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Отчетен период</w:t>
            </w:r>
          </w:p>
        </w:tc>
      </w:tr>
      <w:tr>
        <w:trPr>
          <w:trHeight w:val="870" w:hRule="auto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33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01.07-31.12.25</w:t>
            </w:r>
          </w:p>
        </w:tc>
        <w:tc>
          <w:tcPr>
            <w:tcW w:w="326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33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01.01-30.06.26</w:t>
            </w:r>
          </w:p>
        </w:tc>
      </w:tr>
      <w:tr>
        <w:trPr>
          <w:trHeight w:val="1" w:hRule="atLeast"/>
          <w:jc w:val="left"/>
        </w:trPr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154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1.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Заседания на Общински съвет 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9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редовни заседания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извънредни заседания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</w:t>
            </w:r>
          </w:p>
        </w:tc>
      </w:tr>
      <w:tr>
        <w:trPr>
          <w:trHeight w:val="634" w:hRule="auto"/>
          <w:jc w:val="left"/>
        </w:trPr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154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2.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Среден брой присъстващи общински съветници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10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10</w:t>
            </w:r>
          </w:p>
        </w:tc>
      </w:tr>
      <w:tr>
        <w:trPr>
          <w:trHeight w:val="428" w:hRule="auto"/>
          <w:jc w:val="left"/>
        </w:trPr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154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3.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Среден брой разглеждани точки в дневния ред на заседание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14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7</w:t>
            </w:r>
          </w:p>
        </w:tc>
      </w:tr>
      <w:tr>
        <w:trPr>
          <w:trHeight w:val="375" w:hRule="auto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Най-много точки в дневния ред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20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17</w:t>
            </w:r>
          </w:p>
        </w:tc>
      </w:tr>
      <w:tr>
        <w:trPr>
          <w:trHeight w:val="467" w:hRule="auto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Най-малко точки в дневния ред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</w:t>
            </w:r>
          </w:p>
        </w:tc>
      </w:tr>
      <w:tr>
        <w:trPr>
          <w:trHeight w:val="390" w:hRule="auto"/>
          <w:jc w:val="left"/>
        </w:trPr>
        <w:tc>
          <w:tcPr>
            <w:tcW w:w="65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154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4.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Общ брой взети решения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77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47</w:t>
            </w:r>
          </w:p>
        </w:tc>
      </w:tr>
      <w:tr>
        <w:trPr>
          <w:trHeight w:val="420" w:hRule="auto"/>
          <w:jc w:val="left"/>
        </w:trPr>
        <w:tc>
          <w:tcPr>
            <w:tcW w:w="65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Решения с пълно мнозинство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53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37</w:t>
            </w:r>
          </w:p>
        </w:tc>
      </w:tr>
      <w:tr>
        <w:trPr>
          <w:trHeight w:val="615" w:hRule="auto"/>
          <w:jc w:val="left"/>
        </w:trPr>
        <w:tc>
          <w:tcPr>
            <w:tcW w:w="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-154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5.</w:t>
            </w:r>
          </w:p>
        </w:tc>
        <w:tc>
          <w:tcPr>
            <w:tcW w:w="4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623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Върнати решения от областния</w:t>
            </w:r>
          </w:p>
        </w:tc>
        <w:tc>
          <w:tcPr>
            <w:tcW w:w="12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  <w:tc>
          <w:tcPr>
            <w:tcW w:w="1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</w:tr>
    </w:tbl>
    <w:p>
      <w:pPr>
        <w:spacing w:before="0" w:after="160" w:line="276"/>
        <w:ind w:right="62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Заседания на постоянните комисии към Общински съвет-Рудозем</w:t>
      </w:r>
    </w:p>
    <w:p>
      <w:pPr>
        <w:spacing w:before="0" w:after="0" w:line="276"/>
        <w:ind w:right="0" w:left="0" w:firstLine="567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Комисиите към Общинския съвет-Рудозем  активно изпълняваха функциите си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провеждани бяха редовни заседания, на които се разглеждаха проектите за решения и се даваха становища по тях. Най-активни бяха постоянните комисии по:</w:t>
      </w:r>
    </w:p>
    <w:p>
      <w:pPr>
        <w:numPr>
          <w:ilvl w:val="0"/>
          <w:numId w:val="91"/>
        </w:numPr>
        <w:spacing w:before="0" w:after="0" w:line="276"/>
        <w:ind w:right="0" w:left="1287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Комисия по бюджет, финанси и икономика”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броя заседания; </w:t>
      </w:r>
    </w:p>
    <w:p>
      <w:pPr>
        <w:numPr>
          <w:ilvl w:val="0"/>
          <w:numId w:val="91"/>
        </w:numPr>
        <w:spacing w:before="0" w:after="0" w:line="276"/>
        <w:ind w:right="0" w:left="1287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Комисия по устройство на територията, благоустрояване, екология, законност и обществен ред”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броя заседания; </w:t>
      </w:r>
    </w:p>
    <w:p>
      <w:pPr>
        <w:numPr>
          <w:ilvl w:val="0"/>
          <w:numId w:val="91"/>
        </w:numPr>
        <w:spacing w:before="0" w:after="0" w:line="276"/>
        <w:ind w:right="0" w:left="1287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Комисия по здравеопазване, образование, култура, социална политика и спорт”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броя заседания; </w:t>
      </w:r>
    </w:p>
    <w:p>
      <w:pPr>
        <w:numPr>
          <w:ilvl w:val="0"/>
          <w:numId w:val="91"/>
        </w:numPr>
        <w:spacing w:before="0" w:after="0" w:line="276"/>
        <w:ind w:right="0" w:left="1287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Комисия за противодействие на корупцията и отнемане на незаконно придобитото имущество”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не проведено, поради липса на кворум. </w:t>
      </w:r>
    </w:p>
    <w:p>
      <w:pPr>
        <w:spacing w:before="0" w:after="0" w:line="276"/>
        <w:ind w:right="0" w:left="1287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tbl>
      <w:tblPr/>
      <w:tblGrid>
        <w:gridCol w:w="533"/>
        <w:gridCol w:w="6613"/>
        <w:gridCol w:w="1386"/>
        <w:gridCol w:w="1386"/>
      </w:tblGrid>
      <w:tr>
        <w:trPr>
          <w:trHeight w:val="489" w:hRule="auto"/>
          <w:jc w:val="left"/>
        </w:trPr>
        <w:tc>
          <w:tcPr>
            <w:tcW w:w="5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6"/>
                <w:shd w:fill="auto" w:val="clear"/>
              </w:rPr>
              <w:t xml:space="preserve">№</w:t>
            </w:r>
          </w:p>
        </w:tc>
        <w:tc>
          <w:tcPr>
            <w:tcW w:w="66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</w:p>
          <w:tbl>
            <w:tblPr/>
            <w:tblGrid>
              <w:gridCol w:w="4071"/>
            </w:tblGrid>
            <w:tr>
              <w:trPr>
                <w:trHeight w:val="138" w:hRule="auto"/>
                <w:jc w:val="left"/>
              </w:trPr>
              <w:tc>
                <w:tcPr>
                  <w:tcW w:w="4071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bdd6ee"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spacing w:before="0" w:after="0" w:line="276"/>
                    <w:ind w:right="0" w:left="0" w:firstLine="0"/>
                    <w:jc w:val="center"/>
                    <w:rPr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6"/>
                      <w:shd w:fill="auto" w:val="clear"/>
                    </w:rPr>
                    <w:t xml:space="preserve">Име на комисия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Общ брой</w:t>
            </w:r>
          </w:p>
        </w:tc>
      </w:tr>
      <w:tr>
        <w:trPr>
          <w:trHeight w:val="412" w:hRule="auto"/>
          <w:jc w:val="left"/>
        </w:trPr>
        <w:tc>
          <w:tcPr>
            <w:tcW w:w="5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01.07-31.12.2025 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01.01-30.06.2026</w:t>
            </w:r>
          </w:p>
        </w:tc>
      </w:tr>
      <w:tr>
        <w:trPr>
          <w:trHeight w:val="669" w:hRule="auto"/>
          <w:jc w:val="left"/>
        </w:trPr>
        <w:tc>
          <w:tcPr>
            <w:tcW w:w="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1.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Комисия по бюджет, финанси и икономика”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</w:tr>
      <w:tr>
        <w:trPr>
          <w:trHeight w:val="909" w:hRule="auto"/>
          <w:jc w:val="left"/>
        </w:trPr>
        <w:tc>
          <w:tcPr>
            <w:tcW w:w="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2.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Комисия по устройство на територията, благоустрояване, екология, законност и обществен ред”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</w:tr>
      <w:tr>
        <w:trPr>
          <w:trHeight w:val="768" w:hRule="auto"/>
          <w:jc w:val="left"/>
        </w:trPr>
        <w:tc>
          <w:tcPr>
            <w:tcW w:w="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3.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Комисия по здравеопазване, образование, култура, социална политика и спорт”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6</w:t>
            </w:r>
          </w:p>
        </w:tc>
      </w:tr>
      <w:tr>
        <w:trPr>
          <w:trHeight w:val="904" w:hRule="auto"/>
          <w:jc w:val="left"/>
        </w:trPr>
        <w:tc>
          <w:tcPr>
            <w:tcW w:w="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4.</w:t>
            </w:r>
          </w:p>
        </w:tc>
        <w:tc>
          <w:tcPr>
            <w:tcW w:w="66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„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Комисия за противодействие на корупцията и отнемане на незаконно придобитото имущество”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0</w:t>
            </w:r>
          </w:p>
        </w:tc>
        <w:tc>
          <w:tcPr>
            <w:tcW w:w="13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6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  <w:t xml:space="preserve">В публичния регистър за на питанията на общински съветници и съответните отговори към тях през отчетният период на основание чл.33 ал.4  от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FFFFFF" w:val="clear"/>
        </w:rPr>
        <w:t xml:space="preserve">ЗМСМА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  <w:t xml:space="preserve"> и чл.110, чл.111ал.1 и ал.2 от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FFFFFF" w:val="clear"/>
        </w:rPr>
        <w:t xml:space="preserve">П Р А В И Л Н И К А за организацията и дейността на общинския съвет, неговите комисии и взаимодействието му с общинската администрация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FFFFFF" w:val="clear"/>
        </w:rPr>
        <w:t xml:space="preserve"> са постъпили две питания от общински съветници, на които има получен отговор от страна на кмета само на едното. На второто няма и не е поискано удължаване на срока за отговор.</w:t>
      </w:r>
    </w:p>
    <w:p>
      <w:pPr>
        <w:tabs>
          <w:tab w:val="left" w:pos="4860" w:leader="none"/>
        </w:tabs>
        <w:spacing w:before="0" w:after="16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И тази година в първото полугодие бяха проведени индивидуални срещи по населени места в Община Рудозем от страна на общински съветници по въпроси касаещи жителите. Във връзка с проведени срещи и постъпили от сигнали, бяха повдигнати редица въпроси от местно значение. По отношение на част от поставените проблеми бяха предприети незабавни мерки и е постигнато решение. За останалите казуси бе предоставено правно-институционално съдействие и указания за компетентността на съответните административни органи.</w:t>
      </w:r>
    </w:p>
    <w:p>
      <w:pPr>
        <w:tabs>
          <w:tab w:val="left" w:pos="4860" w:leader="none"/>
        </w:tabs>
        <w:spacing w:before="0" w:after="16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 отчетния период заявления за обявяване за независим общински съветник бяха подадени първо от инж. Евелин Бозов и след това от Николина Костадинова.</w:t>
      </w:r>
    </w:p>
    <w:p>
      <w:pPr>
        <w:tabs>
          <w:tab w:val="left" w:pos="4860" w:leader="none"/>
        </w:tabs>
        <w:spacing w:before="0" w:after="16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Въпреки тези вътрешни размествания,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79% от решенията са приети с пълно мнозинство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което показва зрялост на съвета. Политическата динамика и обявяването за независими от двамата съветници не доведоха до политическа блокада, а решенията по ключовите за общината теми бяха вземани надпартийно.</w:t>
      </w:r>
    </w:p>
    <w:p>
      <w:pPr>
        <w:tabs>
          <w:tab w:val="left" w:pos="567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От гореизложеното можем да обобщим следните изводи:</w:t>
      </w:r>
    </w:p>
    <w:p>
      <w:pPr>
        <w:numPr>
          <w:ilvl w:val="0"/>
          <w:numId w:val="130"/>
        </w:numPr>
        <w:tabs>
          <w:tab w:val="left" w:pos="567" w:leader="none"/>
        </w:tabs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Отчетният период се характеризира с вътрешна динамика и преструктуриране на политическото представителство, породено от подадените заявления за обявяване за независими общински съветници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първо от инж. Евелин Бозов, а впоследствие и от Николина Костадинова. Въпреки тези персонални промени, Общинският съвет демонстрира висока конструктивност, като доказателство за това са решенията, приети с пълно мнозинство. Това доказва, че местните политики и интересите на гражданите са поставени над партийните различия.</w:t>
      </w:r>
    </w:p>
    <w:p>
      <w:pPr>
        <w:numPr>
          <w:ilvl w:val="0"/>
          <w:numId w:val="130"/>
        </w:numPr>
        <w:tabs>
          <w:tab w:val="left" w:pos="567" w:leader="none"/>
        </w:tabs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Натовареността на водещите комисии съвпада изцяло с профила на приетите 47 решения. Прецизната предварителна работа в комисиите и всеобхватните дебати след това на заседанията на Съвета води и до изключително стабилни актове, като само 1 решение е върнато от Областния управител за цялото полугодие.</w:t>
      </w:r>
    </w:p>
    <w:p>
      <w:pPr>
        <w:numPr>
          <w:ilvl w:val="0"/>
          <w:numId w:val="130"/>
        </w:numPr>
        <w:tabs>
          <w:tab w:val="left" w:pos="567" w:leader="none"/>
        </w:tabs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Провеждането на индивидуални срещи по населените места извежда дейността на съветниците извън административния модел. Постигнато е реално и бързо разрешаване на част от проблемите на гражданите, а по останалите казуси е оказано важно институционално и правно съдействие. Налице е и присъствие от жители на община Рудозем на заседания на Общински съвет.</w:t>
      </w:r>
    </w:p>
    <w:p>
      <w:pPr>
        <w:tabs>
          <w:tab w:val="left" w:pos="567" w:leader="none"/>
        </w:tabs>
        <w:spacing w:before="0" w:after="0" w:line="276"/>
        <w:ind w:right="0" w:left="426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0" w:left="426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Разбира се има и административни пропуски и слабости, като:</w:t>
      </w:r>
    </w:p>
    <w:p>
      <w:pPr>
        <w:numPr>
          <w:ilvl w:val="0"/>
          <w:numId w:val="132"/>
        </w:numPr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Налице е пиково претоварване на дневния ред през май (22 точки) и проблеми с кворума (едно провалено извънредно заседание на Съвета и едно на Антикорупционната комисия).</w:t>
      </w:r>
    </w:p>
    <w:p>
      <w:pPr>
        <w:numPr>
          <w:ilvl w:val="0"/>
          <w:numId w:val="132"/>
        </w:numPr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Регистрирано е неизпълнение на законовите задължения по чл. 33, ал. 4 от ЗМСМА от страна на Кмета на общината, който е оставил едно от двете официални питания без отговор и без поискано удължаване на срока.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Цели за изпълнение от Общински съвет гр. Рудозем през следващото полугодие на 2026г.:</w:t>
      </w:r>
    </w:p>
    <w:p>
      <w:pPr>
        <w:numPr>
          <w:ilvl w:val="0"/>
          <w:numId w:val="134"/>
        </w:numPr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Да се оптимизира планирането на сесиите за по-равномерно разпределение на точките в дневния ред.</w:t>
      </w:r>
    </w:p>
    <w:p>
      <w:pPr>
        <w:numPr>
          <w:ilvl w:val="0"/>
          <w:numId w:val="134"/>
        </w:numPr>
        <w:spacing w:before="0" w:after="0" w:line="276"/>
        <w:ind w:right="0" w:left="426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Да се засили процедурният контрол от страна на Председателя на съвета за стриктно спазване на сроковете за отговор на питания от страна на общинската администрация.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EE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Предоставям настоящата обобщена информация за сведение на всички общински съветници, кмета на общината и на гражданите на Община Рудозем.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Общинския съвет гр. Рудозем след като се запозна с Отчета за работата му за периода 01.01 - 30.06.2026 година на председателя на Общинския съвет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инж. Венцислав Пехливанов и на основание на 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чл. 21, ал.1, т.23 и чл. 27, ал. 6 от Закона за местното самоуправление и местната администрация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6"/>
          <w:shd w:fill="auto" w:val="clear"/>
        </w:rPr>
        <w:t xml:space="preserve">РЕШИ: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Приема Отчета за работата на Общински съвет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Рудозем през 01.01.2026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 30.06.2026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година. </w:t>
      </w:r>
    </w:p>
    <w:p>
      <w:pPr>
        <w:spacing w:before="0" w:after="160" w:line="276"/>
        <w:ind w:right="623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76"/>
        <w:ind w:right="623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76"/>
        <w:ind w:right="623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76"/>
        <w:ind w:right="623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Председател на Об. С:……П………….</w:t>
      </w:r>
    </w:p>
    <w:p>
      <w:pPr>
        <w:spacing w:before="0" w:after="160" w:line="276"/>
        <w:ind w:right="623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инж. Венцислав Пехливанов/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11">
    <w:abstractNumId w:val="54"/>
  </w:num>
  <w:num w:numId="14">
    <w:abstractNumId w:val="48"/>
  </w:num>
  <w:num w:numId="17">
    <w:abstractNumId w:val="42"/>
  </w:num>
  <w:num w:numId="20">
    <w:abstractNumId w:val="36"/>
  </w:num>
  <w:num w:numId="23">
    <w:abstractNumId w:val="30"/>
  </w:num>
  <w:num w:numId="26">
    <w:abstractNumId w:val="24"/>
  </w:num>
  <w:num w:numId="91">
    <w:abstractNumId w:val="18"/>
  </w:num>
  <w:num w:numId="130">
    <w:abstractNumId w:val="12"/>
  </w:num>
  <w:num w:numId="132">
    <w:abstractNumId w:val="6"/>
  </w:num>
  <w:num w:numId="13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